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19" w:rsidRPr="00A764BB" w:rsidRDefault="00D06287" w:rsidP="00D06287">
      <w:pPr>
        <w:jc w:val="right"/>
        <w:rPr>
          <w:rFonts w:ascii="Arial" w:hAnsi="Arial" w:cs="Arial"/>
          <w:i/>
          <w:sz w:val="22"/>
          <w:szCs w:val="22"/>
        </w:rPr>
      </w:pPr>
      <w:r w:rsidRPr="00A764BB">
        <w:rPr>
          <w:rFonts w:ascii="Arial" w:hAnsi="Arial" w:cs="Arial"/>
          <w:i/>
          <w:sz w:val="22"/>
          <w:szCs w:val="22"/>
        </w:rPr>
        <w:t>Príloha č. 1</w:t>
      </w:r>
      <w:r w:rsidR="00957112">
        <w:rPr>
          <w:rFonts w:ascii="Arial" w:hAnsi="Arial" w:cs="Arial"/>
          <w:i/>
          <w:sz w:val="22"/>
          <w:szCs w:val="22"/>
        </w:rPr>
        <w:t>1</w:t>
      </w:r>
    </w:p>
    <w:p w:rsidR="00D06287" w:rsidRDefault="00D06287" w:rsidP="00D06287">
      <w:pPr>
        <w:rPr>
          <w:rFonts w:ascii="Arial" w:hAnsi="Arial" w:cs="Arial"/>
          <w:b/>
          <w:sz w:val="20"/>
          <w:szCs w:val="20"/>
        </w:rPr>
      </w:pPr>
      <w:r w:rsidRPr="00D06287">
        <w:rPr>
          <w:rFonts w:ascii="Arial" w:hAnsi="Arial" w:cs="Arial"/>
          <w:b/>
          <w:sz w:val="20"/>
          <w:szCs w:val="20"/>
        </w:rPr>
        <w:t xml:space="preserve">Zoznam </w:t>
      </w:r>
      <w:proofErr w:type="spellStart"/>
      <w:r w:rsidR="001515C2">
        <w:rPr>
          <w:rFonts w:ascii="Arial" w:hAnsi="Arial" w:cs="Arial"/>
          <w:b/>
          <w:sz w:val="20"/>
          <w:szCs w:val="20"/>
        </w:rPr>
        <w:t>Core</w:t>
      </w:r>
      <w:proofErr w:type="spellEnd"/>
      <w:r w:rsidR="001515C2">
        <w:rPr>
          <w:rFonts w:ascii="Arial" w:hAnsi="Arial" w:cs="Arial"/>
          <w:b/>
          <w:sz w:val="20"/>
          <w:szCs w:val="20"/>
        </w:rPr>
        <w:t xml:space="preserve"> </w:t>
      </w:r>
      <w:r w:rsidRPr="00D06287">
        <w:rPr>
          <w:rFonts w:ascii="Arial" w:hAnsi="Arial" w:cs="Arial"/>
          <w:b/>
          <w:sz w:val="20"/>
          <w:szCs w:val="20"/>
        </w:rPr>
        <w:t>ukazovateľov reportovaných EK prostredníctvom SFC2007 v rámci Výročnej správ</w:t>
      </w:r>
      <w:r w:rsidR="00382F9E">
        <w:rPr>
          <w:rFonts w:ascii="Arial" w:hAnsi="Arial" w:cs="Arial"/>
          <w:b/>
          <w:sz w:val="20"/>
          <w:szCs w:val="20"/>
        </w:rPr>
        <w:t>y o vykonávaní OP ŽP za rok 2012</w:t>
      </w:r>
    </w:p>
    <w:p w:rsidR="00D06287" w:rsidRDefault="00D06287" w:rsidP="00D0628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2119"/>
        <w:gridCol w:w="931"/>
        <w:gridCol w:w="450"/>
        <w:gridCol w:w="771"/>
        <w:gridCol w:w="1393"/>
        <w:gridCol w:w="1270"/>
        <w:gridCol w:w="1064"/>
        <w:gridCol w:w="1109"/>
        <w:gridCol w:w="1092"/>
        <w:gridCol w:w="1480"/>
        <w:gridCol w:w="1215"/>
        <w:gridCol w:w="1377"/>
      </w:tblGrid>
      <w:tr w:rsidR="00382F9E" w:rsidRPr="00336BFE" w:rsidTr="00D33696">
        <w:trPr>
          <w:trHeight w:val="20"/>
          <w:tblHeader/>
        </w:trPr>
        <w:tc>
          <w:tcPr>
            <w:tcW w:w="0" w:type="auto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334094233"/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Ukazovateľ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M/Ž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Priorita</w:t>
            </w:r>
          </w:p>
        </w:tc>
        <w:tc>
          <w:tcPr>
            <w:tcW w:w="1393" w:type="dxa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Počiatočné základné ukazovatele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Konečný cieľ</w:t>
            </w:r>
          </w:p>
        </w:tc>
        <w:tc>
          <w:tcPr>
            <w:tcW w:w="1064" w:type="dxa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Splnené záväzky v roku 2007</w:t>
            </w:r>
          </w:p>
        </w:tc>
        <w:tc>
          <w:tcPr>
            <w:tcW w:w="1109" w:type="dxa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Splnené záväzky v roku 2008</w:t>
            </w:r>
          </w:p>
        </w:tc>
        <w:tc>
          <w:tcPr>
            <w:tcW w:w="1092" w:type="dxa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Splnené záväzky v roku 2009</w:t>
            </w:r>
          </w:p>
        </w:tc>
        <w:tc>
          <w:tcPr>
            <w:tcW w:w="1480" w:type="dxa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Splnené záväzky v roku 2010</w:t>
            </w:r>
          </w:p>
        </w:tc>
        <w:tc>
          <w:tcPr>
            <w:tcW w:w="1215" w:type="dxa"/>
            <w:shd w:val="clear" w:color="auto" w:fill="D6E3BC"/>
            <w:vAlign w:val="center"/>
            <w:hideMark/>
          </w:tcPr>
          <w:p w:rsidR="00382F9E" w:rsidRPr="00336BFE" w:rsidRDefault="00382F9E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Splnené záväzky v roku 2011</w:t>
            </w:r>
          </w:p>
        </w:tc>
        <w:tc>
          <w:tcPr>
            <w:tcW w:w="1377" w:type="dxa"/>
            <w:shd w:val="clear" w:color="auto" w:fill="D6E3BC"/>
            <w:vAlign w:val="center"/>
          </w:tcPr>
          <w:p w:rsidR="00382F9E" w:rsidRPr="00336BFE" w:rsidRDefault="0090193D" w:rsidP="00D06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BFE">
              <w:rPr>
                <w:rFonts w:ascii="Arial" w:hAnsi="Arial" w:cs="Arial"/>
                <w:b/>
                <w:bCs/>
                <w:sz w:val="18"/>
                <w:szCs w:val="18"/>
              </w:rPr>
              <w:t>Splnené záväzky v roku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bookmarkEnd w:id="0"/>
      <w:tr w:rsidR="00382F9E" w:rsidRPr="00336BFE" w:rsidTr="00D33696">
        <w:trPr>
          <w:trHeight w:val="35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1 - Vytvorené pracovné miesta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24110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7" w:type="dxa"/>
            <w:vAlign w:val="center"/>
          </w:tcPr>
          <w:p w:rsidR="00382F9E" w:rsidRPr="00336BFE" w:rsidRDefault="00D33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82F9E" w:rsidRPr="00336BFE" w:rsidTr="00D33696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1 - Vytvorené pracovné miesta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24120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7" w:type="dxa"/>
            <w:vAlign w:val="center"/>
          </w:tcPr>
          <w:p w:rsidR="00382F9E" w:rsidRPr="00336BFE" w:rsidRDefault="00D33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82F9E" w:rsidRPr="00336BFE" w:rsidTr="00D33696">
        <w:trPr>
          <w:trHeight w:val="273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1 - Vytvorené pracovné miesta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7" w:type="dxa"/>
            <w:vAlign w:val="center"/>
          </w:tcPr>
          <w:p w:rsidR="00382F9E" w:rsidRPr="00336BFE" w:rsidRDefault="00B7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82F9E" w:rsidRPr="00336BFE" w:rsidTr="00D33696">
        <w:trPr>
          <w:trHeight w:val="278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1 - Vytvorené pracovné miesta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377" w:type="dxa"/>
            <w:vAlign w:val="center"/>
          </w:tcPr>
          <w:p w:rsidR="00382F9E" w:rsidRPr="00336BFE" w:rsidRDefault="00B7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382F9E" w:rsidRPr="00336BFE" w:rsidTr="00D33696">
        <w:trPr>
          <w:trHeight w:val="267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1 - Vytvorené pracovné miesta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24150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7" w:type="dxa"/>
            <w:vAlign w:val="center"/>
          </w:tcPr>
          <w:p w:rsidR="00382F9E" w:rsidRPr="00336BFE" w:rsidRDefault="00B7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82F9E" w:rsidRPr="00336BFE" w:rsidTr="00D33696">
        <w:trPr>
          <w:trHeight w:val="414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1 - Vytvorené pracovné miesta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24170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7" w:type="dxa"/>
            <w:vAlign w:val="center"/>
          </w:tcPr>
          <w:p w:rsidR="00382F9E" w:rsidRPr="00336BFE" w:rsidRDefault="00B7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23 - Počet projektov týkajúcich sa obnoviteľnej energie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 w:rsidP="00132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7" w:type="dxa"/>
            <w:vAlign w:val="center"/>
          </w:tcPr>
          <w:p w:rsidR="00382F9E" w:rsidRPr="00336BFE" w:rsidRDefault="00B72C8E" w:rsidP="00132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24 - Ďalšia kapacita výroby obnoviteľnej energie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MW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1.78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9.315</w:t>
            </w:r>
          </w:p>
        </w:tc>
        <w:tc>
          <w:tcPr>
            <w:tcW w:w="1377" w:type="dxa"/>
            <w:vAlign w:val="center"/>
          </w:tcPr>
          <w:p w:rsidR="00382F9E" w:rsidRPr="00336BFE" w:rsidRDefault="00DC4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25 - Ďalšie obyvateľstvo, ktoré využíva projekty týkajúce sa vody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24110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8655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9500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7" w:type="dxa"/>
            <w:vAlign w:val="center"/>
          </w:tcPr>
          <w:p w:rsidR="00382F9E" w:rsidRPr="00336BFE" w:rsidRDefault="004869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1402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26 - Ďalšie obyvateľstvo, ktoré využíva projekty týkajúce sa odpadovej vody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24110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4696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321000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1377" w:type="dxa"/>
            <w:vAlign w:val="center"/>
          </w:tcPr>
          <w:p w:rsidR="00382F9E" w:rsidRPr="00336BFE" w:rsidRDefault="004869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27 - Počet projektov v oblasti odpadov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 w:rsidP="00132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77" w:type="dxa"/>
            <w:vAlign w:val="center"/>
          </w:tcPr>
          <w:p w:rsidR="00382F9E" w:rsidRPr="00336BFE" w:rsidRDefault="00486978" w:rsidP="00132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28 - Počet projektov v oblasti zlepšovania kvality ovzdušia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 w:rsidP="00132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7" w:type="dxa"/>
            <w:vAlign w:val="center"/>
          </w:tcPr>
          <w:p w:rsidR="00382F9E" w:rsidRPr="00336BFE" w:rsidRDefault="00486978" w:rsidP="00132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29 - Rekultivovaná oblasť (km2)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km2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1377" w:type="dxa"/>
            <w:vAlign w:val="center"/>
          </w:tcPr>
          <w:p w:rsidR="00382F9E" w:rsidRPr="00336BFE" w:rsidRDefault="004869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EAF1DD"/>
            <w:vAlign w:val="center"/>
            <w:hideMark/>
          </w:tcPr>
          <w:p w:rsidR="00382F9E" w:rsidRPr="00336BFE" w:rsidRDefault="00382F9E" w:rsidP="00A261BB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30 - Zníženie emisií skleníkových plynov (CO2 a e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336BFE">
              <w:rPr>
                <w:rFonts w:ascii="Arial" w:hAnsi="Arial" w:cs="Arial"/>
                <w:sz w:val="18"/>
                <w:szCs w:val="18"/>
              </w:rPr>
              <w:t xml:space="preserve">vivalenty, </w:t>
            </w:r>
            <w:proofErr w:type="spellStart"/>
            <w:r w:rsidRPr="00336BFE">
              <w:rPr>
                <w:rFonts w:ascii="Arial" w:hAnsi="Arial" w:cs="Arial"/>
                <w:sz w:val="18"/>
                <w:szCs w:val="18"/>
              </w:rPr>
              <w:t>kt</w:t>
            </w:r>
            <w:proofErr w:type="spellEnd"/>
            <w:r w:rsidRPr="00336B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6BFE">
              <w:rPr>
                <w:rFonts w:ascii="Arial" w:hAnsi="Arial" w:cs="Arial"/>
                <w:sz w:val="18"/>
                <w:szCs w:val="18"/>
              </w:rPr>
              <w:t>tis.ton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1377" w:type="dxa"/>
            <w:vAlign w:val="center"/>
          </w:tcPr>
          <w:p w:rsidR="00382F9E" w:rsidRPr="00336BFE" w:rsidRDefault="00FE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8.687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31 - Počet projektov v oblasti prevencie rizík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24120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77" w:type="dxa"/>
            <w:vAlign w:val="center"/>
          </w:tcPr>
          <w:p w:rsidR="00382F9E" w:rsidRPr="00336BFE" w:rsidRDefault="00FE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31 - Počet projektov v oblasti prevencie rizík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24170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7" w:type="dxa"/>
            <w:vAlign w:val="center"/>
          </w:tcPr>
          <w:p w:rsidR="00382F9E" w:rsidRPr="00336BFE" w:rsidRDefault="00FE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 xml:space="preserve">32 - Počet osôb </w:t>
            </w:r>
            <w:r w:rsidRPr="00336BFE">
              <w:rPr>
                <w:rFonts w:ascii="Arial" w:hAnsi="Arial" w:cs="Arial"/>
                <w:sz w:val="18"/>
                <w:szCs w:val="18"/>
              </w:rPr>
              <w:lastRenderedPageBreak/>
              <w:t>využívajúcich opatrenia protipovodňovej ochrany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lastRenderedPageBreak/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24120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1420000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42100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7" w:type="dxa"/>
            <w:vAlign w:val="center"/>
          </w:tcPr>
          <w:p w:rsidR="00382F9E" w:rsidRPr="00336BFE" w:rsidRDefault="00FE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lastRenderedPageBreak/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7 - Počet projektov priamej investičnej pomoci pre MSP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77" w:type="dxa"/>
            <w:vAlign w:val="center"/>
          </w:tcPr>
          <w:p w:rsidR="00382F9E" w:rsidRPr="00336BFE" w:rsidRDefault="00FE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7 - Počet projektov priamej investičnej pomoci pre MSP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77" w:type="dxa"/>
            <w:vAlign w:val="center"/>
          </w:tcPr>
          <w:p w:rsidR="00382F9E" w:rsidRPr="00336BFE" w:rsidRDefault="00FE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9 - Vytvorené pracovné miesta (celkové, ekvivalent plného pracovného času)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7" w:type="dxa"/>
            <w:vAlign w:val="center"/>
          </w:tcPr>
          <w:p w:rsidR="00382F9E" w:rsidRPr="00336BFE" w:rsidRDefault="00FE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  <w:hideMark/>
          </w:tcPr>
          <w:p w:rsidR="00382F9E" w:rsidRPr="00336BFE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9 - Vytvorené pracovné miesta (celkové, ekvivalent plného pracovného času)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24140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382F9E" w:rsidRPr="00336BFE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F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77" w:type="dxa"/>
            <w:vAlign w:val="center"/>
          </w:tcPr>
          <w:p w:rsidR="00382F9E" w:rsidRPr="00336BFE" w:rsidRDefault="00FE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</w:tcPr>
          <w:p w:rsidR="00382F9E" w:rsidRPr="00A261BB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10 – Vyvolané investície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mil. EUR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24130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20,48</w:t>
            </w:r>
          </w:p>
        </w:tc>
        <w:tc>
          <w:tcPr>
            <w:tcW w:w="1377" w:type="dxa"/>
            <w:vAlign w:val="center"/>
          </w:tcPr>
          <w:p w:rsidR="00382F9E" w:rsidRDefault="00FE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24,46</w:t>
            </w:r>
          </w:p>
        </w:tc>
      </w:tr>
      <w:tr w:rsidR="00382F9E" w:rsidRPr="00336BFE" w:rsidTr="00D33696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Základný</w:t>
            </w:r>
          </w:p>
        </w:tc>
        <w:tc>
          <w:tcPr>
            <w:tcW w:w="2119" w:type="dxa"/>
            <w:shd w:val="clear" w:color="auto" w:fill="EAF1DD"/>
            <w:vAlign w:val="center"/>
          </w:tcPr>
          <w:p w:rsidR="00382F9E" w:rsidRPr="00A261BB" w:rsidRDefault="00382F9E">
            <w:pPr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10 – Vyvolané investície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mil. EUR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24140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82F9E" w:rsidRPr="00A261BB" w:rsidRDefault="00382F9E" w:rsidP="00755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1BB">
              <w:rPr>
                <w:rFonts w:ascii="Arial" w:hAnsi="Arial" w:cs="Arial"/>
                <w:sz w:val="18"/>
                <w:szCs w:val="18"/>
              </w:rPr>
              <w:t>7,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82F9E" w:rsidRPr="00A261BB" w:rsidRDefault="00382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19,62</w:t>
            </w:r>
          </w:p>
        </w:tc>
        <w:tc>
          <w:tcPr>
            <w:tcW w:w="1377" w:type="dxa"/>
            <w:vAlign w:val="center"/>
          </w:tcPr>
          <w:p w:rsidR="00382F9E" w:rsidRDefault="00FE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32,49</w:t>
            </w:r>
          </w:p>
        </w:tc>
      </w:tr>
    </w:tbl>
    <w:p w:rsidR="00D06287" w:rsidRDefault="009E0F99" w:rsidP="00D06287">
      <w:pPr>
        <w:rPr>
          <w:rFonts w:ascii="Arial" w:hAnsi="Arial" w:cs="Arial"/>
          <w:sz w:val="20"/>
          <w:szCs w:val="20"/>
        </w:rPr>
      </w:pPr>
      <w:r w:rsidRPr="009E0F99">
        <w:rPr>
          <w:rFonts w:ascii="Arial" w:hAnsi="Arial" w:cs="Arial"/>
          <w:sz w:val="20"/>
          <w:szCs w:val="20"/>
        </w:rPr>
        <w:t>Zdroj: SFC2007</w:t>
      </w:r>
    </w:p>
    <w:p w:rsidR="009E0F99" w:rsidRDefault="009E0F99" w:rsidP="00D06287">
      <w:pPr>
        <w:rPr>
          <w:rFonts w:ascii="Arial" w:hAnsi="Arial" w:cs="Arial"/>
          <w:sz w:val="20"/>
          <w:szCs w:val="20"/>
        </w:rPr>
      </w:pPr>
    </w:p>
    <w:p w:rsidR="009E0F99" w:rsidRPr="00C136DC" w:rsidRDefault="00C136DC" w:rsidP="00D06287">
      <w:pPr>
        <w:rPr>
          <w:rFonts w:ascii="Arial" w:hAnsi="Arial" w:cs="Arial"/>
          <w:i/>
          <w:sz w:val="20"/>
          <w:szCs w:val="20"/>
        </w:rPr>
      </w:pPr>
      <w:r w:rsidRPr="00C136DC">
        <w:rPr>
          <w:rFonts w:ascii="Arial" w:hAnsi="Arial" w:cs="Arial"/>
          <w:i/>
          <w:sz w:val="20"/>
          <w:szCs w:val="20"/>
        </w:rPr>
        <w:t>Pozn.:</w:t>
      </w:r>
    </w:p>
    <w:p w:rsidR="00C136DC" w:rsidRDefault="00C136DC" w:rsidP="00FD319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136DC">
        <w:rPr>
          <w:rFonts w:ascii="Arial" w:hAnsi="Arial" w:cs="Arial"/>
          <w:i/>
          <w:sz w:val="20"/>
          <w:szCs w:val="20"/>
        </w:rPr>
        <w:t xml:space="preserve">Zoznam vyššie uvedených </w:t>
      </w:r>
      <w:proofErr w:type="spellStart"/>
      <w:r w:rsidRPr="00C136DC">
        <w:rPr>
          <w:rFonts w:ascii="Arial" w:hAnsi="Arial" w:cs="Arial"/>
          <w:i/>
          <w:sz w:val="20"/>
          <w:szCs w:val="20"/>
        </w:rPr>
        <w:t>Core</w:t>
      </w:r>
      <w:proofErr w:type="spellEnd"/>
      <w:r w:rsidRPr="00C136DC">
        <w:rPr>
          <w:rFonts w:ascii="Arial" w:hAnsi="Arial" w:cs="Arial"/>
          <w:i/>
          <w:sz w:val="20"/>
          <w:szCs w:val="20"/>
        </w:rPr>
        <w:t xml:space="preserve"> ukazovateľov bol zostavený v zmysle listu EK z 06.03.2012, vrátane odporúčaní (</w:t>
      </w:r>
      <w:proofErr w:type="spellStart"/>
      <w:r w:rsidRPr="00C136DC">
        <w:rPr>
          <w:rFonts w:ascii="Arial" w:hAnsi="Arial" w:cs="Arial"/>
          <w:i/>
          <w:sz w:val="20"/>
          <w:szCs w:val="20"/>
        </w:rPr>
        <w:t>Technical</w:t>
      </w:r>
      <w:proofErr w:type="spellEnd"/>
      <w:r w:rsidRPr="00C136D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136DC">
        <w:rPr>
          <w:rFonts w:ascii="Arial" w:hAnsi="Arial" w:cs="Arial"/>
          <w:i/>
          <w:sz w:val="20"/>
          <w:szCs w:val="20"/>
        </w:rPr>
        <w:t>recommendations</w:t>
      </w:r>
      <w:proofErr w:type="spellEnd"/>
      <w:r w:rsidRPr="00C136DC">
        <w:rPr>
          <w:rFonts w:ascii="Arial" w:hAnsi="Arial" w:cs="Arial"/>
          <w:i/>
          <w:sz w:val="20"/>
          <w:szCs w:val="20"/>
        </w:rPr>
        <w:t>) vzťahujúcich sa konkrétne na Operačný program Životné prostredie</w:t>
      </w:r>
      <w:r w:rsidR="00FD319A">
        <w:rPr>
          <w:rFonts w:ascii="Arial" w:hAnsi="Arial" w:cs="Arial"/>
          <w:i/>
          <w:sz w:val="20"/>
          <w:szCs w:val="20"/>
        </w:rPr>
        <w:t>:</w:t>
      </w:r>
    </w:p>
    <w:p w:rsidR="00FD2E11" w:rsidRPr="00FE3CE6" w:rsidRDefault="00FD2E11" w:rsidP="003757DA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FE3CE6">
        <w:rPr>
          <w:rFonts w:ascii="Arial" w:hAnsi="Arial" w:cs="Arial"/>
          <w:i/>
          <w:sz w:val="20"/>
          <w:szCs w:val="20"/>
        </w:rPr>
        <w:t>Core</w:t>
      </w:r>
      <w:proofErr w:type="spellEnd"/>
      <w:r w:rsidRPr="00FE3CE6">
        <w:rPr>
          <w:rFonts w:ascii="Arial" w:hAnsi="Arial" w:cs="Arial"/>
          <w:i/>
          <w:sz w:val="20"/>
          <w:szCs w:val="20"/>
        </w:rPr>
        <w:t xml:space="preserve"> ukazovateľ 01 je na úrovni </w:t>
      </w:r>
      <w:r w:rsidR="00D555FF" w:rsidRPr="00FE3CE6">
        <w:rPr>
          <w:rFonts w:ascii="Arial" w:hAnsi="Arial" w:cs="Arial"/>
          <w:i/>
          <w:sz w:val="20"/>
          <w:szCs w:val="20"/>
        </w:rPr>
        <w:t xml:space="preserve">OP </w:t>
      </w:r>
      <w:r w:rsidRPr="00FE3CE6">
        <w:rPr>
          <w:rFonts w:ascii="Arial" w:hAnsi="Arial" w:cs="Arial"/>
          <w:i/>
          <w:sz w:val="20"/>
          <w:szCs w:val="20"/>
        </w:rPr>
        <w:t>definovaný ako ukazovateľ dopadu, nakoľko vznik pracovných miest je vedľajším resp. nepriamym cieľom projektov OP ŽP. Merateľný ukazovateľ je vykazovaný na základe schválených následných monitorovacích správ</w:t>
      </w:r>
      <w:r w:rsidR="00D555FF" w:rsidRPr="00FE3CE6">
        <w:rPr>
          <w:rFonts w:ascii="Arial" w:hAnsi="Arial" w:cs="Arial"/>
          <w:i/>
          <w:sz w:val="20"/>
          <w:szCs w:val="20"/>
        </w:rPr>
        <w:t xml:space="preserve">, po ukončení realizácie aktivít projektov. </w:t>
      </w:r>
      <w:r w:rsidRPr="00FE3CE6">
        <w:rPr>
          <w:rFonts w:ascii="Arial" w:hAnsi="Arial" w:cs="Arial"/>
          <w:i/>
          <w:sz w:val="20"/>
          <w:szCs w:val="20"/>
        </w:rPr>
        <w:t>Nakoľko bol uvedený ukazovateľ schválený až v rámci revízie OP ŽP Rozhodnutím Komisie K(2011) 3978 z 09.06.2011, nebol súčasťou programových dokumentov pred jeho schválením a ani súčasťou zazmluvnených projektov, a teda sa nesledoval, neobsahuje hodnoty zazmluvnených projektov pred uvedeným dátumom.</w:t>
      </w:r>
      <w:r w:rsidR="00D555FF" w:rsidRPr="00FE3CE6">
        <w:rPr>
          <w:rFonts w:ascii="Arial" w:hAnsi="Arial" w:cs="Arial"/>
          <w:i/>
          <w:sz w:val="20"/>
          <w:szCs w:val="20"/>
        </w:rPr>
        <w:t xml:space="preserve"> RO bude vo výročných správach za nasledujúce roky aktualizovať uvedené hodnoty počas obdobia udržateľnosti na základe hod</w:t>
      </w:r>
      <w:r w:rsidR="00FE3CE6">
        <w:rPr>
          <w:rFonts w:ascii="Arial" w:hAnsi="Arial" w:cs="Arial"/>
          <w:i/>
          <w:sz w:val="20"/>
          <w:szCs w:val="20"/>
        </w:rPr>
        <w:t>n</w:t>
      </w:r>
      <w:r w:rsidR="00D555FF" w:rsidRPr="00FE3CE6">
        <w:rPr>
          <w:rFonts w:ascii="Arial" w:hAnsi="Arial" w:cs="Arial"/>
          <w:i/>
          <w:sz w:val="20"/>
          <w:szCs w:val="20"/>
        </w:rPr>
        <w:t>ôt uvedených v najaktuálnejších schválených následných monitorovacích správach.</w:t>
      </w:r>
    </w:p>
    <w:p w:rsidR="001C52B4" w:rsidRPr="00FE3CE6" w:rsidRDefault="00F47460" w:rsidP="003757DA">
      <w:pPr>
        <w:pStyle w:val="Odsekzoznamu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FE3CE6">
        <w:rPr>
          <w:rFonts w:ascii="Arial" w:hAnsi="Arial" w:cs="Arial"/>
          <w:i/>
          <w:sz w:val="20"/>
          <w:szCs w:val="20"/>
        </w:rPr>
        <w:t>Core</w:t>
      </w:r>
      <w:proofErr w:type="spellEnd"/>
      <w:r w:rsidRPr="00FE3CE6">
        <w:rPr>
          <w:rFonts w:ascii="Arial" w:hAnsi="Arial" w:cs="Arial"/>
          <w:i/>
          <w:sz w:val="20"/>
          <w:szCs w:val="20"/>
        </w:rPr>
        <w:t xml:space="preserve"> ukazovatele 02,03</w:t>
      </w:r>
      <w:r w:rsidR="00CB4B8D" w:rsidRPr="00FE3CE6">
        <w:rPr>
          <w:rFonts w:ascii="Arial" w:hAnsi="Arial" w:cs="Arial"/>
          <w:i/>
          <w:sz w:val="20"/>
          <w:szCs w:val="20"/>
        </w:rPr>
        <w:t xml:space="preserve"> nie </w:t>
      </w:r>
      <w:r w:rsidR="0064768C" w:rsidRPr="00FE3CE6">
        <w:rPr>
          <w:rFonts w:ascii="Arial" w:hAnsi="Arial" w:cs="Arial"/>
          <w:i/>
          <w:sz w:val="20"/>
          <w:szCs w:val="20"/>
        </w:rPr>
        <w:t>je možné sledovať a následne vykazovať v rámci výročnej správy</w:t>
      </w:r>
      <w:r w:rsidR="00CB4B8D" w:rsidRPr="00FE3CE6">
        <w:rPr>
          <w:rFonts w:ascii="Arial" w:hAnsi="Arial" w:cs="Arial"/>
          <w:i/>
          <w:sz w:val="20"/>
          <w:szCs w:val="20"/>
        </w:rPr>
        <w:t>, nakoľko nie sú súčasťou schválen</w:t>
      </w:r>
      <w:r w:rsidR="0064768C" w:rsidRPr="00FE3CE6">
        <w:rPr>
          <w:rFonts w:ascii="Arial" w:hAnsi="Arial" w:cs="Arial"/>
          <w:i/>
          <w:sz w:val="20"/>
          <w:szCs w:val="20"/>
        </w:rPr>
        <w:t>ého dokumentu OP ŽP ani ITMS a teda ich hodnoty nie sú riadiacemu orgánu OP ŽP dostupné</w:t>
      </w:r>
    </w:p>
    <w:p w:rsidR="001C52B4" w:rsidRPr="00FE3CE6" w:rsidRDefault="00321D23" w:rsidP="00FD319A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FE3CE6">
        <w:rPr>
          <w:rFonts w:ascii="Arial" w:hAnsi="Arial" w:cs="Arial"/>
          <w:i/>
          <w:sz w:val="20"/>
          <w:szCs w:val="20"/>
        </w:rPr>
        <w:t>z</w:t>
      </w:r>
      <w:r w:rsidR="001C52B4" w:rsidRPr="00FE3CE6">
        <w:rPr>
          <w:rFonts w:ascii="Arial" w:hAnsi="Arial" w:cs="Arial"/>
          <w:i/>
          <w:sz w:val="20"/>
          <w:szCs w:val="20"/>
        </w:rPr>
        <w:t xml:space="preserve">o zoznamu sledovaných </w:t>
      </w:r>
      <w:proofErr w:type="spellStart"/>
      <w:r w:rsidR="001C52B4" w:rsidRPr="00FE3CE6">
        <w:rPr>
          <w:rFonts w:ascii="Arial" w:hAnsi="Arial" w:cs="Arial"/>
          <w:i/>
          <w:sz w:val="20"/>
          <w:szCs w:val="20"/>
        </w:rPr>
        <w:t>Core</w:t>
      </w:r>
      <w:proofErr w:type="spellEnd"/>
      <w:r w:rsidR="001C52B4" w:rsidRPr="00FE3CE6">
        <w:rPr>
          <w:rFonts w:ascii="Arial" w:hAnsi="Arial" w:cs="Arial"/>
          <w:i/>
          <w:sz w:val="20"/>
          <w:szCs w:val="20"/>
        </w:rPr>
        <w:t xml:space="preserve"> ukazovateľov bol vypustený </w:t>
      </w:r>
      <w:proofErr w:type="spellStart"/>
      <w:r w:rsidR="001C52B4" w:rsidRPr="00FE3CE6">
        <w:rPr>
          <w:rFonts w:ascii="Arial" w:hAnsi="Arial" w:cs="Arial"/>
          <w:i/>
          <w:sz w:val="20"/>
          <w:szCs w:val="20"/>
        </w:rPr>
        <w:t>Core</w:t>
      </w:r>
      <w:proofErr w:type="spellEnd"/>
      <w:r w:rsidR="001C52B4" w:rsidRPr="00FE3CE6">
        <w:rPr>
          <w:rFonts w:ascii="Arial" w:hAnsi="Arial" w:cs="Arial"/>
          <w:i/>
          <w:sz w:val="20"/>
          <w:szCs w:val="20"/>
        </w:rPr>
        <w:t xml:space="preserve"> ukazovateľ 01 pre prioritnú os 6 Technická pomoc</w:t>
      </w:r>
    </w:p>
    <w:p w:rsidR="001C52B4" w:rsidRPr="00FE3CE6" w:rsidRDefault="001C52B4" w:rsidP="00FD319A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proofErr w:type="spellStart"/>
      <w:r w:rsidRPr="00FE3CE6">
        <w:rPr>
          <w:rFonts w:ascii="Arial" w:hAnsi="Arial" w:cs="Arial"/>
          <w:i/>
          <w:sz w:val="20"/>
          <w:szCs w:val="20"/>
        </w:rPr>
        <w:t>Core</w:t>
      </w:r>
      <w:proofErr w:type="spellEnd"/>
      <w:r w:rsidRPr="00FE3CE6">
        <w:rPr>
          <w:rFonts w:ascii="Arial" w:hAnsi="Arial" w:cs="Arial"/>
          <w:i/>
          <w:sz w:val="20"/>
          <w:szCs w:val="20"/>
        </w:rPr>
        <w:t xml:space="preserve"> ukazovateľ 09 je podmnožinou </w:t>
      </w:r>
      <w:proofErr w:type="spellStart"/>
      <w:r w:rsidRPr="00FE3CE6">
        <w:rPr>
          <w:rFonts w:ascii="Arial" w:hAnsi="Arial" w:cs="Arial"/>
          <w:i/>
          <w:sz w:val="20"/>
          <w:szCs w:val="20"/>
        </w:rPr>
        <w:t>Core</w:t>
      </w:r>
      <w:proofErr w:type="spellEnd"/>
      <w:r w:rsidRPr="00FE3CE6">
        <w:rPr>
          <w:rFonts w:ascii="Arial" w:hAnsi="Arial" w:cs="Arial"/>
          <w:i/>
          <w:sz w:val="20"/>
          <w:szCs w:val="20"/>
        </w:rPr>
        <w:t xml:space="preserve"> ukazovateľa 01</w:t>
      </w:r>
    </w:p>
    <w:p w:rsidR="00E65A05" w:rsidRPr="00FE3CE6" w:rsidRDefault="00E65A05" w:rsidP="00FE3CE6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E65A05">
        <w:rPr>
          <w:rFonts w:ascii="Arial" w:hAnsi="Arial" w:cs="Arial"/>
          <w:i/>
          <w:sz w:val="20"/>
          <w:szCs w:val="20"/>
        </w:rPr>
        <w:t>Core</w:t>
      </w:r>
      <w:proofErr w:type="spellEnd"/>
      <w:r w:rsidRPr="00E65A05">
        <w:rPr>
          <w:rFonts w:ascii="Arial" w:hAnsi="Arial" w:cs="Arial"/>
          <w:i/>
          <w:sz w:val="20"/>
          <w:szCs w:val="20"/>
        </w:rPr>
        <w:t xml:space="preserve"> ukazovateľ 10 – vyvolané investície - vykazuje celkový objem súkromných zdrojov v schválených žiadostiach o platbu v rámci projektov realizovaných v podnikoch. V stĺpci Komentár</w:t>
      </w:r>
      <w:r w:rsidRPr="00FE3CE6">
        <w:rPr>
          <w:rFonts w:ascii="Arial" w:hAnsi="Arial" w:cs="Arial"/>
          <w:i/>
          <w:sz w:val="20"/>
          <w:szCs w:val="20"/>
        </w:rPr>
        <w:t xml:space="preserve">1 </w:t>
      </w:r>
      <w:r w:rsidRPr="00E65A05">
        <w:rPr>
          <w:rFonts w:ascii="Arial" w:hAnsi="Arial" w:cs="Arial"/>
          <w:i/>
          <w:sz w:val="20"/>
          <w:szCs w:val="20"/>
        </w:rPr>
        <w:t>je uvedená suma v rámci zazmluvnených projektov</w:t>
      </w:r>
      <w:r w:rsidR="0090193D">
        <w:rPr>
          <w:rFonts w:ascii="Arial" w:hAnsi="Arial" w:cs="Arial"/>
          <w:i/>
          <w:sz w:val="20"/>
          <w:szCs w:val="20"/>
        </w:rPr>
        <w:t xml:space="preserve"> (bez mimoriadne ukončených)</w:t>
      </w:r>
      <w:r w:rsidRPr="00E65A05">
        <w:rPr>
          <w:rFonts w:ascii="Arial" w:hAnsi="Arial" w:cs="Arial"/>
          <w:i/>
          <w:sz w:val="20"/>
          <w:szCs w:val="20"/>
        </w:rPr>
        <w:t>.</w:t>
      </w:r>
    </w:p>
    <w:p w:rsidR="001C52B4" w:rsidRPr="00FE3CE6" w:rsidRDefault="00321D23" w:rsidP="00FD319A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FE3CE6">
        <w:rPr>
          <w:rFonts w:ascii="Arial" w:hAnsi="Arial" w:cs="Arial"/>
          <w:i/>
          <w:sz w:val="20"/>
          <w:szCs w:val="20"/>
        </w:rPr>
        <w:t xml:space="preserve">hodnoty „konečný cieľ“ sledovaných </w:t>
      </w:r>
      <w:proofErr w:type="spellStart"/>
      <w:r w:rsidRPr="00FE3CE6">
        <w:rPr>
          <w:rFonts w:ascii="Arial" w:hAnsi="Arial" w:cs="Arial"/>
          <w:i/>
          <w:sz w:val="20"/>
          <w:szCs w:val="20"/>
        </w:rPr>
        <w:t>Core</w:t>
      </w:r>
      <w:proofErr w:type="spellEnd"/>
      <w:r w:rsidRPr="00FE3CE6">
        <w:rPr>
          <w:rFonts w:ascii="Arial" w:hAnsi="Arial" w:cs="Arial"/>
          <w:i/>
          <w:sz w:val="20"/>
          <w:szCs w:val="20"/>
        </w:rPr>
        <w:t xml:space="preserve"> ukazovateľov nezahŕňajú počiatočné hodnoty</w:t>
      </w:r>
    </w:p>
    <w:p w:rsidR="00EB287C" w:rsidRPr="00FE3CE6" w:rsidRDefault="00321D23" w:rsidP="00FD319A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FE3CE6">
        <w:rPr>
          <w:rFonts w:ascii="Arial" w:hAnsi="Arial" w:cs="Arial"/>
          <w:i/>
          <w:sz w:val="20"/>
          <w:szCs w:val="20"/>
        </w:rPr>
        <w:t xml:space="preserve">„splnené záväzky“ </w:t>
      </w:r>
      <w:proofErr w:type="spellStart"/>
      <w:r w:rsidRPr="00FE3CE6">
        <w:rPr>
          <w:rFonts w:ascii="Arial" w:hAnsi="Arial" w:cs="Arial"/>
          <w:i/>
          <w:sz w:val="20"/>
          <w:szCs w:val="20"/>
        </w:rPr>
        <w:t>Core</w:t>
      </w:r>
      <w:proofErr w:type="spellEnd"/>
      <w:r w:rsidRPr="00FE3CE6">
        <w:rPr>
          <w:rFonts w:ascii="Arial" w:hAnsi="Arial" w:cs="Arial"/>
          <w:i/>
          <w:sz w:val="20"/>
          <w:szCs w:val="20"/>
        </w:rPr>
        <w:t xml:space="preserve"> ukazovateľov 01,</w:t>
      </w:r>
      <w:r w:rsidR="00EB287C" w:rsidRPr="00FE3CE6">
        <w:rPr>
          <w:rFonts w:ascii="Arial" w:hAnsi="Arial" w:cs="Arial"/>
          <w:i/>
          <w:sz w:val="20"/>
          <w:szCs w:val="20"/>
        </w:rPr>
        <w:t xml:space="preserve"> </w:t>
      </w:r>
      <w:r w:rsidRPr="00FE3CE6">
        <w:rPr>
          <w:rFonts w:ascii="Arial" w:hAnsi="Arial" w:cs="Arial"/>
          <w:i/>
          <w:sz w:val="20"/>
          <w:szCs w:val="20"/>
        </w:rPr>
        <w:t>09,</w:t>
      </w:r>
      <w:r w:rsidR="00EB287C" w:rsidRPr="00FE3CE6">
        <w:rPr>
          <w:rFonts w:ascii="Arial" w:hAnsi="Arial" w:cs="Arial"/>
          <w:i/>
          <w:sz w:val="20"/>
          <w:szCs w:val="20"/>
        </w:rPr>
        <w:t xml:space="preserve"> </w:t>
      </w:r>
      <w:r w:rsidRPr="00FE3CE6">
        <w:rPr>
          <w:rFonts w:ascii="Arial" w:hAnsi="Arial" w:cs="Arial"/>
          <w:i/>
          <w:sz w:val="20"/>
          <w:szCs w:val="20"/>
        </w:rPr>
        <w:t>24,</w:t>
      </w:r>
      <w:r w:rsidR="00EB287C" w:rsidRPr="00FE3CE6">
        <w:rPr>
          <w:rFonts w:ascii="Arial" w:hAnsi="Arial" w:cs="Arial"/>
          <w:i/>
          <w:sz w:val="20"/>
          <w:szCs w:val="20"/>
        </w:rPr>
        <w:t xml:space="preserve"> </w:t>
      </w:r>
      <w:r w:rsidRPr="00FE3CE6">
        <w:rPr>
          <w:rFonts w:ascii="Arial" w:hAnsi="Arial" w:cs="Arial"/>
          <w:i/>
          <w:sz w:val="20"/>
          <w:szCs w:val="20"/>
        </w:rPr>
        <w:t>25,</w:t>
      </w:r>
      <w:r w:rsidR="00EB287C" w:rsidRPr="00FE3CE6">
        <w:rPr>
          <w:rFonts w:ascii="Arial" w:hAnsi="Arial" w:cs="Arial"/>
          <w:i/>
          <w:sz w:val="20"/>
          <w:szCs w:val="20"/>
        </w:rPr>
        <w:t xml:space="preserve"> </w:t>
      </w:r>
      <w:r w:rsidRPr="00FE3CE6">
        <w:rPr>
          <w:rFonts w:ascii="Arial" w:hAnsi="Arial" w:cs="Arial"/>
          <w:i/>
          <w:sz w:val="20"/>
          <w:szCs w:val="20"/>
        </w:rPr>
        <w:t>26,</w:t>
      </w:r>
      <w:r w:rsidR="00EB287C" w:rsidRPr="00FE3CE6">
        <w:rPr>
          <w:rFonts w:ascii="Arial" w:hAnsi="Arial" w:cs="Arial"/>
          <w:i/>
          <w:sz w:val="20"/>
          <w:szCs w:val="20"/>
        </w:rPr>
        <w:t xml:space="preserve"> </w:t>
      </w:r>
      <w:r w:rsidRPr="00FE3CE6">
        <w:rPr>
          <w:rFonts w:ascii="Arial" w:hAnsi="Arial" w:cs="Arial"/>
          <w:i/>
          <w:sz w:val="20"/>
          <w:szCs w:val="20"/>
        </w:rPr>
        <w:t>29,</w:t>
      </w:r>
      <w:r w:rsidR="00EB287C" w:rsidRPr="00FE3CE6">
        <w:rPr>
          <w:rFonts w:ascii="Arial" w:hAnsi="Arial" w:cs="Arial"/>
          <w:i/>
          <w:sz w:val="20"/>
          <w:szCs w:val="20"/>
        </w:rPr>
        <w:t xml:space="preserve"> </w:t>
      </w:r>
      <w:r w:rsidRPr="00FE3CE6">
        <w:rPr>
          <w:rFonts w:ascii="Arial" w:hAnsi="Arial" w:cs="Arial"/>
          <w:i/>
          <w:sz w:val="20"/>
          <w:szCs w:val="20"/>
        </w:rPr>
        <w:t>30,</w:t>
      </w:r>
      <w:r w:rsidR="00EB287C" w:rsidRPr="00FE3CE6">
        <w:rPr>
          <w:rFonts w:ascii="Arial" w:hAnsi="Arial" w:cs="Arial"/>
          <w:i/>
          <w:sz w:val="20"/>
          <w:szCs w:val="20"/>
        </w:rPr>
        <w:t xml:space="preserve"> </w:t>
      </w:r>
      <w:r w:rsidRPr="00FE3CE6">
        <w:rPr>
          <w:rFonts w:ascii="Arial" w:hAnsi="Arial" w:cs="Arial"/>
          <w:i/>
          <w:sz w:val="20"/>
          <w:szCs w:val="20"/>
        </w:rPr>
        <w:t>32</w:t>
      </w:r>
      <w:r w:rsidR="00EB287C" w:rsidRPr="00FE3CE6">
        <w:rPr>
          <w:rFonts w:ascii="Arial" w:hAnsi="Arial" w:cs="Arial"/>
          <w:i/>
          <w:sz w:val="20"/>
          <w:szCs w:val="20"/>
        </w:rPr>
        <w:t xml:space="preserve"> predstavujú hodnoty ukončených projektov</w:t>
      </w:r>
    </w:p>
    <w:p w:rsidR="00EB287C" w:rsidRPr="00FE3CE6" w:rsidRDefault="00EB287C" w:rsidP="00FD319A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FE3CE6">
        <w:rPr>
          <w:rFonts w:ascii="Arial" w:hAnsi="Arial" w:cs="Arial"/>
          <w:i/>
          <w:sz w:val="20"/>
          <w:szCs w:val="20"/>
        </w:rPr>
        <w:lastRenderedPageBreak/>
        <w:t xml:space="preserve">„splnené záväzky“ </w:t>
      </w:r>
      <w:proofErr w:type="spellStart"/>
      <w:r w:rsidRPr="00FE3CE6">
        <w:rPr>
          <w:rFonts w:ascii="Arial" w:hAnsi="Arial" w:cs="Arial"/>
          <w:i/>
          <w:sz w:val="20"/>
          <w:szCs w:val="20"/>
        </w:rPr>
        <w:t>Core</w:t>
      </w:r>
      <w:proofErr w:type="spellEnd"/>
      <w:r w:rsidRPr="00FE3CE6">
        <w:rPr>
          <w:rFonts w:ascii="Arial" w:hAnsi="Arial" w:cs="Arial"/>
          <w:i/>
          <w:sz w:val="20"/>
          <w:szCs w:val="20"/>
        </w:rPr>
        <w:t xml:space="preserve"> ukazovateľov 07, 23, 27, 28, 31 predstavujú hodnoty zazmluvnených projektov</w:t>
      </w:r>
    </w:p>
    <w:p w:rsidR="00FE3CE6" w:rsidRDefault="00FE3CE6" w:rsidP="00FE3CE6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 w:rsidRPr="001B5DED">
        <w:rPr>
          <w:rFonts w:ascii="Arial" w:hAnsi="Arial" w:cs="Arial"/>
          <w:i/>
          <w:sz w:val="20"/>
          <w:szCs w:val="20"/>
        </w:rPr>
        <w:t xml:space="preserve">erané hodnoty </w:t>
      </w:r>
      <w:proofErr w:type="spellStart"/>
      <w:r w:rsidRPr="001B5DED">
        <w:rPr>
          <w:rFonts w:ascii="Arial" w:hAnsi="Arial" w:cs="Arial"/>
          <w:i/>
          <w:sz w:val="20"/>
          <w:szCs w:val="20"/>
        </w:rPr>
        <w:t>core</w:t>
      </w:r>
      <w:proofErr w:type="spellEnd"/>
      <w:r w:rsidRPr="001B5DED">
        <w:rPr>
          <w:rFonts w:ascii="Arial" w:hAnsi="Arial" w:cs="Arial"/>
          <w:i/>
          <w:sz w:val="20"/>
          <w:szCs w:val="20"/>
        </w:rPr>
        <w:t xml:space="preserve"> ukazovateľov charakteru "počet projektov" predstavujú hodnoty zazmluvnených projektov</w:t>
      </w:r>
      <w:r>
        <w:rPr>
          <w:rFonts w:ascii="Arial" w:hAnsi="Arial" w:cs="Arial"/>
          <w:i/>
          <w:sz w:val="20"/>
          <w:szCs w:val="20"/>
        </w:rPr>
        <w:t>, ktoré</w:t>
      </w:r>
      <w:r w:rsidRPr="0022078B">
        <w:rPr>
          <w:rFonts w:ascii="Arial" w:hAnsi="Arial" w:cs="Arial"/>
          <w:i/>
          <w:sz w:val="20"/>
          <w:szCs w:val="20"/>
        </w:rPr>
        <w:t xml:space="preserve"> mali k 31.12.201</w:t>
      </w:r>
      <w:r w:rsidR="00486978">
        <w:rPr>
          <w:rFonts w:ascii="Arial" w:hAnsi="Arial" w:cs="Arial"/>
          <w:i/>
          <w:sz w:val="20"/>
          <w:szCs w:val="20"/>
        </w:rPr>
        <w:t>2</w:t>
      </w:r>
      <w:r w:rsidRPr="0022078B">
        <w:rPr>
          <w:rFonts w:ascii="Arial" w:hAnsi="Arial" w:cs="Arial"/>
          <w:i/>
          <w:sz w:val="20"/>
          <w:szCs w:val="20"/>
        </w:rPr>
        <w:t xml:space="preserve"> účinnú zmluvu o poskytnutí NFP a boli v realizácii alebo riadne ukončené. Údaje nezahŕňajú mimoriadne ukončené projekty.</w:t>
      </w:r>
    </w:p>
    <w:p w:rsidR="00E46930" w:rsidRPr="001C52B4" w:rsidRDefault="00E46930" w:rsidP="00FD319A">
      <w:pPr>
        <w:pStyle w:val="Odsekzoznamu"/>
        <w:spacing w:before="120"/>
        <w:ind w:left="714"/>
        <w:rPr>
          <w:rFonts w:ascii="Arial" w:hAnsi="Arial" w:cs="Arial"/>
          <w:sz w:val="20"/>
          <w:szCs w:val="20"/>
        </w:rPr>
      </w:pPr>
    </w:p>
    <w:sectPr w:rsidR="00E46930" w:rsidRPr="001C52B4" w:rsidSect="00382F9E">
      <w:pgSz w:w="16838" w:h="11906" w:orient="landscape"/>
      <w:pgMar w:top="964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04"/>
    <w:multiLevelType w:val="hybridMultilevel"/>
    <w:tmpl w:val="2CCC06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287"/>
    <w:rsid w:val="000473EB"/>
    <w:rsid w:val="0013295D"/>
    <w:rsid w:val="001515C2"/>
    <w:rsid w:val="001744A5"/>
    <w:rsid w:val="001C52B4"/>
    <w:rsid w:val="00321D23"/>
    <w:rsid w:val="00336BFE"/>
    <w:rsid w:val="00342058"/>
    <w:rsid w:val="003757DA"/>
    <w:rsid w:val="00382F9E"/>
    <w:rsid w:val="00407D27"/>
    <w:rsid w:val="00486978"/>
    <w:rsid w:val="004B3BCA"/>
    <w:rsid w:val="0064768C"/>
    <w:rsid w:val="007103E1"/>
    <w:rsid w:val="00731C9A"/>
    <w:rsid w:val="00755AF9"/>
    <w:rsid w:val="007803CD"/>
    <w:rsid w:val="007A6ACD"/>
    <w:rsid w:val="007C5CA0"/>
    <w:rsid w:val="00885010"/>
    <w:rsid w:val="0090193D"/>
    <w:rsid w:val="00957112"/>
    <w:rsid w:val="009E0F99"/>
    <w:rsid w:val="00A261BB"/>
    <w:rsid w:val="00A764BB"/>
    <w:rsid w:val="00A846CF"/>
    <w:rsid w:val="00B72C8E"/>
    <w:rsid w:val="00C11282"/>
    <w:rsid w:val="00C136DC"/>
    <w:rsid w:val="00C80564"/>
    <w:rsid w:val="00CB4B8D"/>
    <w:rsid w:val="00CF6E19"/>
    <w:rsid w:val="00D06287"/>
    <w:rsid w:val="00D33696"/>
    <w:rsid w:val="00D555FF"/>
    <w:rsid w:val="00DA5AFF"/>
    <w:rsid w:val="00DC4809"/>
    <w:rsid w:val="00E46930"/>
    <w:rsid w:val="00E65A05"/>
    <w:rsid w:val="00EB287C"/>
    <w:rsid w:val="00F47460"/>
    <w:rsid w:val="00FC33E0"/>
    <w:rsid w:val="00FD2E11"/>
    <w:rsid w:val="00FD319A"/>
    <w:rsid w:val="00FE3CE6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846CF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846CF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4">
    <w:name w:val="heading 4"/>
    <w:basedOn w:val="Normlny"/>
    <w:next w:val="Normlny"/>
    <w:qFormat/>
    <w:rsid w:val="00A846CF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A846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40">
    <w:name w:val="Nadpis4"/>
    <w:basedOn w:val="Normlny"/>
    <w:next w:val="Nadpis4"/>
    <w:autoRedefine/>
    <w:rsid w:val="007C5CA0"/>
    <w:pPr>
      <w:spacing w:line="360" w:lineRule="auto"/>
    </w:pPr>
    <w:rPr>
      <w:b/>
      <w:bCs/>
      <w:sz w:val="28"/>
      <w:szCs w:val="20"/>
    </w:rPr>
  </w:style>
  <w:style w:type="character" w:customStyle="1" w:styleId="Nadpis1Char">
    <w:name w:val="Nadpis 1 Char"/>
    <w:link w:val="Nadpis1"/>
    <w:rsid w:val="00A846CF"/>
    <w:rPr>
      <w:rFonts w:eastAsia="Times New Roman" w:cs="Times New Roman"/>
      <w:b/>
      <w:bCs/>
      <w:kern w:val="32"/>
      <w:sz w:val="28"/>
      <w:szCs w:val="32"/>
    </w:rPr>
  </w:style>
  <w:style w:type="character" w:customStyle="1" w:styleId="Nadpis5Char">
    <w:name w:val="Nadpis 5 Char"/>
    <w:link w:val="Nadpis5"/>
    <w:semiHidden/>
    <w:rsid w:val="00A846C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ov">
    <w:name w:val="Title"/>
    <w:basedOn w:val="Nadpis5"/>
    <w:next w:val="Normlny"/>
    <w:link w:val="NzovChar"/>
    <w:qFormat/>
    <w:rsid w:val="00A846CF"/>
    <w:pPr>
      <w:jc w:val="center"/>
      <w:outlineLvl w:val="0"/>
    </w:pPr>
    <w:rPr>
      <w:rFonts w:ascii="Times New Roman" w:hAnsi="Times New Roman"/>
      <w:bCs w:val="0"/>
      <w:i w:val="0"/>
      <w:kern w:val="28"/>
      <w:sz w:val="24"/>
      <w:szCs w:val="32"/>
    </w:rPr>
  </w:style>
  <w:style w:type="character" w:customStyle="1" w:styleId="NzovChar">
    <w:name w:val="Názov Char"/>
    <w:link w:val="Nzov"/>
    <w:rsid w:val="00A846CF"/>
    <w:rPr>
      <w:rFonts w:eastAsia="Times New Roman" w:cs="Times New Roman"/>
      <w:b/>
      <w:iCs/>
      <w:kern w:val="28"/>
      <w:sz w:val="24"/>
      <w:szCs w:val="32"/>
    </w:rPr>
  </w:style>
  <w:style w:type="character" w:styleId="Siln">
    <w:name w:val="Strong"/>
    <w:qFormat/>
    <w:rsid w:val="00A846CF"/>
    <w:rPr>
      <w:b/>
      <w:bCs/>
    </w:rPr>
  </w:style>
  <w:style w:type="paragraph" w:styleId="Odsekzoznamu">
    <w:name w:val="List Paragraph"/>
    <w:basedOn w:val="Normlny"/>
    <w:uiPriority w:val="34"/>
    <w:qFormat/>
    <w:rsid w:val="001C5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Holecová Lucia</dc:creator>
  <cp:keywords/>
  <dc:description/>
  <cp:lastModifiedBy>Kuna Peter</cp:lastModifiedBy>
  <cp:revision>4</cp:revision>
  <dcterms:created xsi:type="dcterms:W3CDTF">2013-02-27T08:30:00Z</dcterms:created>
  <dcterms:modified xsi:type="dcterms:W3CDTF">2013-06-25T14:36:00Z</dcterms:modified>
</cp:coreProperties>
</file>